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7229"/>
      </w:tblGrid>
      <w:tr w:rsidR="006F740B" w:rsidRPr="00F73A20" w14:paraId="60B7F4B0" w14:textId="77777777" w:rsidTr="00A57FE1">
        <w:trPr>
          <w:trHeight w:val="14041"/>
        </w:trPr>
        <w:tc>
          <w:tcPr>
            <w:tcW w:w="3652" w:type="dxa"/>
          </w:tcPr>
          <w:p w14:paraId="0366169F" w14:textId="1479BA2F" w:rsidR="006F740B" w:rsidRPr="00691D04" w:rsidRDefault="00FF75BE">
            <w:pPr>
              <w:rPr>
                <w:rFonts w:ascii="Myriad Pro" w:hAnsi="Myriad Pro"/>
                <w:sz w:val="14"/>
                <w:szCs w:val="18"/>
              </w:rPr>
            </w:pPr>
            <w:r>
              <w:rPr>
                <w:noProof/>
              </w:rPr>
              <w:drawing>
                <wp:inline distT="0" distB="0" distL="0" distR="0" wp14:anchorId="1CE86682" wp14:editId="5FA170B0">
                  <wp:extent cx="2000250" cy="4830639"/>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0574" cy="4831421"/>
                          </a:xfrm>
                          <a:prstGeom prst="rect">
                            <a:avLst/>
                          </a:prstGeom>
                        </pic:spPr>
                      </pic:pic>
                    </a:graphicData>
                  </a:graphic>
                </wp:inline>
              </w:drawing>
            </w:r>
          </w:p>
          <w:p w14:paraId="7E7E8D41" w14:textId="77777777" w:rsidR="006F740B" w:rsidRDefault="006F740B" w:rsidP="00E81ADD">
            <w:pPr>
              <w:jc w:val="center"/>
              <w:rPr>
                <w:rFonts w:ascii="Myriad Pro" w:hAnsi="Myriad Pro"/>
                <w:sz w:val="14"/>
                <w:szCs w:val="18"/>
              </w:rPr>
            </w:pPr>
          </w:p>
          <w:p w14:paraId="57FDEFFD" w14:textId="77777777" w:rsidR="00E81ADD" w:rsidRDefault="00E81ADD">
            <w:pPr>
              <w:rPr>
                <w:rFonts w:ascii="Myriad Pro" w:hAnsi="Myriad Pro"/>
                <w:sz w:val="14"/>
                <w:szCs w:val="18"/>
              </w:rPr>
            </w:pPr>
          </w:p>
          <w:p w14:paraId="43EC9181" w14:textId="77777777" w:rsidR="00E81ADD" w:rsidRPr="00691D04" w:rsidRDefault="00E81ADD" w:rsidP="00E81ADD">
            <w:pPr>
              <w:jc w:val="center"/>
              <w:rPr>
                <w:rFonts w:ascii="Myriad Pro" w:hAnsi="Myriad Pro"/>
                <w:sz w:val="14"/>
                <w:szCs w:val="18"/>
              </w:rPr>
            </w:pPr>
            <w:r>
              <w:rPr>
                <w:noProof/>
              </w:rPr>
              <w:drawing>
                <wp:inline distT="0" distB="0" distL="0" distR="0" wp14:anchorId="44DDBC6F" wp14:editId="0992B9EE">
                  <wp:extent cx="1179095" cy="622300"/>
                  <wp:effectExtent l="0" t="0" r="254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3182" cy="624457"/>
                          </a:xfrm>
                          <a:prstGeom prst="rect">
                            <a:avLst/>
                          </a:prstGeom>
                        </pic:spPr>
                      </pic:pic>
                    </a:graphicData>
                  </a:graphic>
                </wp:inline>
              </w:drawing>
            </w:r>
          </w:p>
        </w:tc>
        <w:tc>
          <w:tcPr>
            <w:tcW w:w="7229" w:type="dxa"/>
          </w:tcPr>
          <w:p w14:paraId="6596DE79" w14:textId="21825CB8" w:rsidR="00DD4E6F" w:rsidRPr="00E813D3" w:rsidRDefault="00DD4E6F" w:rsidP="00DD4E6F">
            <w:pPr>
              <w:autoSpaceDE w:val="0"/>
              <w:autoSpaceDN w:val="0"/>
              <w:adjustRightInd w:val="0"/>
              <w:jc w:val="center"/>
              <w:rPr>
                <w:rFonts w:eastAsia="MyriadPro-Bold" w:cstheme="minorHAnsi"/>
                <w:b/>
                <w:bCs/>
                <w:sz w:val="18"/>
                <w:szCs w:val="18"/>
              </w:rPr>
            </w:pPr>
            <w:r>
              <w:rPr>
                <w:b/>
                <w:sz w:val="18"/>
              </w:rPr>
              <w:t>ST90PE</w:t>
            </w:r>
          </w:p>
          <w:p w14:paraId="67E1B546" w14:textId="77777777" w:rsidR="00E813D3" w:rsidRPr="008F6C72" w:rsidRDefault="00E813D3" w:rsidP="00E813D3">
            <w:pPr>
              <w:autoSpaceDE w:val="0"/>
              <w:autoSpaceDN w:val="0"/>
              <w:adjustRightInd w:val="0"/>
              <w:rPr>
                <w:rFonts w:eastAsia="MyriadPro-Bold" w:cstheme="minorHAnsi"/>
                <w:sz w:val="18"/>
                <w:szCs w:val="18"/>
                <w:lang w:eastAsia="en-US" w:bidi="ar-SA"/>
              </w:rPr>
            </w:pPr>
          </w:p>
          <w:p w14:paraId="7EED0B24" w14:textId="77777777" w:rsidR="00FF75BE" w:rsidRPr="00FF75BE" w:rsidRDefault="00FF75BE" w:rsidP="00FF75BE">
            <w:pPr>
              <w:autoSpaceDE w:val="0"/>
              <w:autoSpaceDN w:val="0"/>
              <w:adjustRightInd w:val="0"/>
              <w:rPr>
                <w:rFonts w:eastAsia="MyriadPro-Bold" w:cstheme="minorHAnsi"/>
                <w:sz w:val="18"/>
                <w:szCs w:val="18"/>
              </w:rPr>
            </w:pPr>
            <w:r>
              <w:rPr>
                <w:sz w:val="18"/>
              </w:rPr>
              <w:t>Najprv si prečítajte bezpečnostné pokyny.</w:t>
            </w:r>
          </w:p>
          <w:p w14:paraId="5A7C68E4" w14:textId="77777777" w:rsidR="00FF75BE" w:rsidRPr="008F6C72" w:rsidRDefault="00FF75BE" w:rsidP="00FF75BE">
            <w:pPr>
              <w:autoSpaceDE w:val="0"/>
              <w:autoSpaceDN w:val="0"/>
              <w:adjustRightInd w:val="0"/>
              <w:rPr>
                <w:rFonts w:eastAsia="MyriadPro-Bold" w:cstheme="minorHAnsi"/>
                <w:sz w:val="18"/>
                <w:szCs w:val="18"/>
                <w:lang w:eastAsia="en-US" w:bidi="ar-SA"/>
              </w:rPr>
            </w:pPr>
          </w:p>
          <w:p w14:paraId="66D15BE3" w14:textId="187BA52D" w:rsidR="00FF75BE" w:rsidRPr="00FF75BE" w:rsidRDefault="00FF75BE" w:rsidP="00FF75BE">
            <w:pPr>
              <w:autoSpaceDE w:val="0"/>
              <w:autoSpaceDN w:val="0"/>
              <w:adjustRightInd w:val="0"/>
              <w:rPr>
                <w:rFonts w:eastAsia="MyriadPro-Bold" w:cstheme="minorHAnsi"/>
                <w:b/>
                <w:bCs/>
                <w:sz w:val="18"/>
                <w:szCs w:val="18"/>
              </w:rPr>
            </w:pPr>
            <w:r>
              <w:rPr>
                <w:b/>
                <w:sz w:val="18"/>
              </w:rPr>
              <w:t>NÁVOD NA POUŽITIE</w:t>
            </w:r>
          </w:p>
          <w:p w14:paraId="5A8E3C5A" w14:textId="7452F5A8" w:rsidR="00FF75BE" w:rsidRPr="00FF75BE" w:rsidRDefault="00FF75BE" w:rsidP="00FF75BE">
            <w:pPr>
              <w:autoSpaceDE w:val="0"/>
              <w:autoSpaceDN w:val="0"/>
              <w:adjustRightInd w:val="0"/>
              <w:rPr>
                <w:rFonts w:eastAsia="MyriadPro-Bold" w:cstheme="minorHAnsi"/>
                <w:b/>
                <w:bCs/>
                <w:sz w:val="18"/>
                <w:szCs w:val="18"/>
              </w:rPr>
            </w:pPr>
            <w:r>
              <w:rPr>
                <w:b/>
                <w:sz w:val="18"/>
              </w:rPr>
              <w:t>UPOZORNENIE! Dbajte na to, aby horúci povrch spotrebiča neprišiel do priameho kontaktu s pokožkou, najmä s ušami, očami, tvárou a krkom.</w:t>
            </w:r>
          </w:p>
          <w:p w14:paraId="407A84E2" w14:textId="7ED6E5DF" w:rsidR="00FF75BE" w:rsidRPr="00FF75BE" w:rsidRDefault="00FF75BE" w:rsidP="00FF75BE">
            <w:pPr>
              <w:autoSpaceDE w:val="0"/>
              <w:autoSpaceDN w:val="0"/>
              <w:adjustRightInd w:val="0"/>
              <w:rPr>
                <w:rFonts w:eastAsia="MyriadPro-Bold" w:cstheme="minorHAnsi"/>
                <w:b/>
                <w:bCs/>
                <w:sz w:val="18"/>
                <w:szCs w:val="18"/>
              </w:rPr>
            </w:pPr>
            <w:r>
              <w:rPr>
                <w:b/>
                <w:sz w:val="18"/>
              </w:rPr>
              <w:t>UPOZORNENIE! Nedotýkajte sa horúcich platní, keď je spotrebič zapnutý.</w:t>
            </w:r>
          </w:p>
          <w:p w14:paraId="2B327C63" w14:textId="62C06DA7" w:rsidR="00FF75BE" w:rsidRPr="00FF75BE" w:rsidRDefault="00FF75BE" w:rsidP="00FF75BE">
            <w:pPr>
              <w:autoSpaceDE w:val="0"/>
              <w:autoSpaceDN w:val="0"/>
              <w:adjustRightInd w:val="0"/>
              <w:rPr>
                <w:rFonts w:eastAsia="MyriadPro-Bold" w:cstheme="minorHAnsi"/>
                <w:sz w:val="18"/>
                <w:szCs w:val="18"/>
              </w:rPr>
            </w:pPr>
            <w:r>
              <w:rPr>
                <w:sz w:val="18"/>
              </w:rPr>
              <w:t>• Uistite sa, že sú vaše vlasy suché a dokonale rozpletené. Rozdeľte vlasy na pramene pripravené na tvarovanie.</w:t>
            </w:r>
          </w:p>
          <w:p w14:paraId="6801EC16" w14:textId="74AA0277" w:rsidR="00FF75BE" w:rsidRPr="00FF75BE" w:rsidRDefault="00FF75BE" w:rsidP="00FF75BE">
            <w:pPr>
              <w:autoSpaceDE w:val="0"/>
              <w:autoSpaceDN w:val="0"/>
              <w:adjustRightInd w:val="0"/>
              <w:rPr>
                <w:rFonts w:eastAsia="MyriadPro-Bold" w:cstheme="minorHAnsi"/>
                <w:sz w:val="18"/>
                <w:szCs w:val="18"/>
              </w:rPr>
            </w:pPr>
            <w:r>
              <w:rPr>
                <w:sz w:val="18"/>
              </w:rPr>
              <w:t>• Prepnite prepínač na nastavenie teploty, ktoré vyhovuje vášmu typu vlasov. Kontrolka bliká, kým sa nedosiahne zvolená teplota. Po dosiahnutí teploty svieti kontrolka nepretržite.</w:t>
            </w:r>
          </w:p>
          <w:p w14:paraId="7FF88685" w14:textId="20EAA96B" w:rsidR="00FF75BE" w:rsidRPr="00FF75BE" w:rsidRDefault="00FF75BE" w:rsidP="00FF75BE">
            <w:pPr>
              <w:autoSpaceDE w:val="0"/>
              <w:autoSpaceDN w:val="0"/>
              <w:adjustRightInd w:val="0"/>
              <w:rPr>
                <w:rFonts w:eastAsia="MyriadPro-Bold" w:cstheme="minorHAnsi"/>
                <w:sz w:val="18"/>
                <w:szCs w:val="18"/>
              </w:rPr>
            </w:pPr>
            <w:r>
              <w:rPr>
                <w:sz w:val="18"/>
              </w:rPr>
              <w:t>• Vložte prameň vlasov medzi vyrovnávacie doštičky v blízkosti korienkov.</w:t>
            </w:r>
          </w:p>
          <w:p w14:paraId="58D26962" w14:textId="09B7AF4D" w:rsidR="00FF75BE" w:rsidRPr="00FF75BE" w:rsidRDefault="00FF75BE" w:rsidP="00FF75BE">
            <w:pPr>
              <w:autoSpaceDE w:val="0"/>
              <w:autoSpaceDN w:val="0"/>
              <w:adjustRightInd w:val="0"/>
              <w:rPr>
                <w:rFonts w:eastAsia="MyriadPro-Bold" w:cstheme="minorHAnsi"/>
                <w:sz w:val="18"/>
                <w:szCs w:val="18"/>
              </w:rPr>
            </w:pPr>
            <w:r>
              <w:rPr>
                <w:sz w:val="18"/>
              </w:rPr>
              <w:t>• Prameň pevne držte medzi narovnávacími platňami a posúvajte prístroj po celej dĺžke vlasov od korienkov ku končekom.</w:t>
            </w:r>
          </w:p>
          <w:p w14:paraId="1B21C9F1" w14:textId="77777777" w:rsidR="00FF75BE" w:rsidRPr="00FF75BE" w:rsidRDefault="00FF75BE" w:rsidP="00FF75BE">
            <w:pPr>
              <w:autoSpaceDE w:val="0"/>
              <w:autoSpaceDN w:val="0"/>
              <w:adjustRightInd w:val="0"/>
              <w:rPr>
                <w:rFonts w:eastAsia="MyriadPro-Bold" w:cstheme="minorHAnsi"/>
                <w:sz w:val="18"/>
                <w:szCs w:val="18"/>
              </w:rPr>
            </w:pPr>
            <w:r>
              <w:rPr>
                <w:sz w:val="18"/>
              </w:rPr>
              <w:t>• Opakujte pre každé vlákno.</w:t>
            </w:r>
          </w:p>
          <w:p w14:paraId="7A4CE742" w14:textId="77777777" w:rsidR="00FF75BE" w:rsidRPr="00FF75BE" w:rsidRDefault="00FF75BE" w:rsidP="00FF75BE">
            <w:pPr>
              <w:autoSpaceDE w:val="0"/>
              <w:autoSpaceDN w:val="0"/>
              <w:adjustRightInd w:val="0"/>
              <w:rPr>
                <w:rFonts w:eastAsia="MyriadPro-Bold" w:cstheme="minorHAnsi"/>
                <w:sz w:val="18"/>
                <w:szCs w:val="18"/>
              </w:rPr>
            </w:pPr>
            <w:r>
              <w:rPr>
                <w:sz w:val="18"/>
              </w:rPr>
              <w:t>• Pred česaním nechajte vlasy vychladnúť.</w:t>
            </w:r>
          </w:p>
          <w:p w14:paraId="7337F072" w14:textId="2CBF677D" w:rsidR="00FF75BE" w:rsidRPr="00FF75BE" w:rsidRDefault="00FF75BE" w:rsidP="00FF75BE">
            <w:pPr>
              <w:autoSpaceDE w:val="0"/>
              <w:autoSpaceDN w:val="0"/>
              <w:adjustRightInd w:val="0"/>
              <w:rPr>
                <w:rFonts w:eastAsia="MyriadPro-Bold" w:cstheme="minorHAnsi"/>
                <w:sz w:val="18"/>
                <w:szCs w:val="18"/>
              </w:rPr>
            </w:pPr>
            <w:r>
              <w:rPr>
                <w:sz w:val="18"/>
              </w:rPr>
              <w:t>• Po použití otočte spínač do polohy „0“, aby ste spotrebič vypli. Potom spotrebič odpojte</w:t>
            </w:r>
          </w:p>
          <w:p w14:paraId="44103A3A" w14:textId="77777777" w:rsidR="00FF75BE" w:rsidRPr="00FF75BE" w:rsidRDefault="00FF75BE" w:rsidP="00FF75BE">
            <w:pPr>
              <w:autoSpaceDE w:val="0"/>
              <w:autoSpaceDN w:val="0"/>
              <w:adjustRightInd w:val="0"/>
              <w:rPr>
                <w:rFonts w:eastAsia="MyriadPro-Bold" w:cstheme="minorHAnsi"/>
                <w:sz w:val="18"/>
                <w:szCs w:val="18"/>
              </w:rPr>
            </w:pPr>
            <w:r>
              <w:rPr>
                <w:sz w:val="18"/>
              </w:rPr>
              <w:t>• Pred uskladnením nechajte spotrebič vychladnúť.</w:t>
            </w:r>
          </w:p>
          <w:p w14:paraId="6DF82BD4" w14:textId="77777777" w:rsidR="00FF75BE" w:rsidRPr="008F6C72" w:rsidRDefault="00FF75BE" w:rsidP="00FF75BE">
            <w:pPr>
              <w:autoSpaceDE w:val="0"/>
              <w:autoSpaceDN w:val="0"/>
              <w:adjustRightInd w:val="0"/>
              <w:rPr>
                <w:rFonts w:eastAsia="MyriadPro-Bold" w:cstheme="minorHAnsi"/>
                <w:sz w:val="18"/>
                <w:szCs w:val="18"/>
                <w:lang w:eastAsia="en-US" w:bidi="ar-SA"/>
              </w:rPr>
            </w:pPr>
          </w:p>
          <w:p w14:paraId="79B87536" w14:textId="00BB6771" w:rsidR="00FF75BE" w:rsidRDefault="00FF75BE" w:rsidP="00FF75BE">
            <w:pPr>
              <w:autoSpaceDE w:val="0"/>
              <w:autoSpaceDN w:val="0"/>
              <w:adjustRightInd w:val="0"/>
              <w:rPr>
                <w:rFonts w:eastAsia="MyriadPro-Bold" w:cstheme="minorHAnsi"/>
                <w:sz w:val="18"/>
                <w:szCs w:val="18"/>
              </w:rPr>
            </w:pPr>
            <w:r>
              <w:rPr>
                <w:b/>
                <w:bCs/>
                <w:sz w:val="18"/>
              </w:rPr>
              <w:t>Regulácia teploty</w:t>
            </w:r>
            <w:r>
              <w:rPr>
                <w:sz w:val="18"/>
              </w:rPr>
              <w:t xml:space="preserve"> Ak máte jemné, krehké, farbené alebo odfarbené vlasy, mali by ste použiť miernejšie nastavenie teploty. Ak máte hustejšie vlasy, použite intenzívnejšie nastavenia. Odporúčame, aby ste pri prvom použití vždy vykonali test. Takto si môžete byť istí, že používate správnu teplotu pre svoj typ vlasov. Začnite s najnižším nastavením a potom teplotu zvyšujte, kým nedosiahnete požadovaný výsledok.</w:t>
            </w:r>
            <w:r>
              <w:rPr>
                <w:b/>
                <w:sz w:val="18"/>
              </w:rPr>
              <w:t xml:space="preserve"> </w:t>
            </w:r>
            <w:r>
              <w:rPr>
                <w:sz w:val="18"/>
              </w:rPr>
              <w:t>Tu nájdete návod na nastavenie teploty:</w:t>
            </w:r>
          </w:p>
          <w:p w14:paraId="307C1C97" w14:textId="77777777" w:rsidR="00FF75BE" w:rsidRPr="008F6C72" w:rsidRDefault="00FF75BE" w:rsidP="00FF75BE">
            <w:pPr>
              <w:autoSpaceDE w:val="0"/>
              <w:autoSpaceDN w:val="0"/>
              <w:adjustRightInd w:val="0"/>
              <w:rPr>
                <w:rFonts w:eastAsia="MyriadPro-Bold" w:cstheme="minorHAnsi"/>
                <w:b/>
                <w:bCs/>
                <w:sz w:val="18"/>
                <w:szCs w:val="18"/>
                <w:lang w:val="en-US" w:eastAsia="en-US" w:bidi="ar-SA"/>
              </w:rPr>
            </w:pPr>
          </w:p>
          <w:p w14:paraId="34759BD1" w14:textId="77777777" w:rsidR="00FF75BE" w:rsidRPr="00574A47" w:rsidRDefault="00FF75BE" w:rsidP="00FF75BE">
            <w:pPr>
              <w:autoSpaceDE w:val="0"/>
              <w:autoSpaceDN w:val="0"/>
              <w:adjustRightInd w:val="0"/>
              <w:rPr>
                <w:rFonts w:eastAsia="MyriadPro-Bold" w:cstheme="minorHAnsi"/>
                <w:sz w:val="18"/>
                <w:szCs w:val="18"/>
              </w:rPr>
            </w:pPr>
            <w:r>
              <w:rPr>
                <w:sz w:val="18"/>
              </w:rPr>
              <w:t>I = 180 ºC</w:t>
            </w:r>
          </w:p>
          <w:p w14:paraId="1EE77CDD" w14:textId="77777777" w:rsidR="00FF75BE" w:rsidRPr="00574A47" w:rsidRDefault="00FF75BE" w:rsidP="00FF75BE">
            <w:pPr>
              <w:autoSpaceDE w:val="0"/>
              <w:autoSpaceDN w:val="0"/>
              <w:adjustRightInd w:val="0"/>
              <w:rPr>
                <w:rFonts w:eastAsia="MyriadPro-Bold" w:cstheme="minorHAnsi"/>
                <w:sz w:val="18"/>
                <w:szCs w:val="18"/>
              </w:rPr>
            </w:pPr>
            <w:r>
              <w:rPr>
                <w:sz w:val="18"/>
              </w:rPr>
              <w:t>II = 200 ºC</w:t>
            </w:r>
          </w:p>
          <w:p w14:paraId="31ADFF41" w14:textId="77777777" w:rsidR="00FF75BE" w:rsidRPr="00574A47" w:rsidRDefault="00FF75BE" w:rsidP="00FF75BE">
            <w:pPr>
              <w:autoSpaceDE w:val="0"/>
              <w:autoSpaceDN w:val="0"/>
              <w:adjustRightInd w:val="0"/>
              <w:rPr>
                <w:rFonts w:eastAsia="MyriadPro-Bold" w:cstheme="minorHAnsi"/>
                <w:sz w:val="18"/>
                <w:szCs w:val="18"/>
              </w:rPr>
            </w:pPr>
            <w:r>
              <w:rPr>
                <w:sz w:val="18"/>
              </w:rPr>
              <w:t>III = 235 ºC</w:t>
            </w:r>
          </w:p>
          <w:p w14:paraId="4D3A0665" w14:textId="77777777" w:rsidR="00FF75BE" w:rsidRPr="008F6C72" w:rsidRDefault="00FF75BE" w:rsidP="00FF75BE">
            <w:pPr>
              <w:autoSpaceDE w:val="0"/>
              <w:autoSpaceDN w:val="0"/>
              <w:adjustRightInd w:val="0"/>
              <w:rPr>
                <w:rFonts w:eastAsia="MyriadPro-Bold" w:cstheme="minorHAnsi"/>
                <w:sz w:val="18"/>
                <w:szCs w:val="18"/>
                <w:lang w:val="en-US" w:eastAsia="en-US" w:bidi="ar-SA"/>
              </w:rPr>
            </w:pPr>
          </w:p>
          <w:p w14:paraId="7B2639B3" w14:textId="24618BB9" w:rsidR="00FF75BE" w:rsidRPr="00FF75BE" w:rsidRDefault="00FF75BE" w:rsidP="00FF75BE">
            <w:pPr>
              <w:autoSpaceDE w:val="0"/>
              <w:autoSpaceDN w:val="0"/>
              <w:adjustRightInd w:val="0"/>
              <w:rPr>
                <w:rFonts w:eastAsia="MyriadPro-Bold" w:cstheme="minorHAnsi"/>
                <w:b/>
                <w:bCs/>
                <w:sz w:val="18"/>
                <w:szCs w:val="18"/>
              </w:rPr>
            </w:pPr>
            <w:r>
              <w:rPr>
                <w:b/>
                <w:sz w:val="18"/>
              </w:rPr>
              <w:t>Automatické vypnutie</w:t>
            </w:r>
          </w:p>
          <w:p w14:paraId="0D1A6D67" w14:textId="60D28CF2" w:rsidR="00FF75BE" w:rsidRPr="00FF75BE" w:rsidRDefault="00FF75BE" w:rsidP="00FF75BE">
            <w:pPr>
              <w:autoSpaceDE w:val="0"/>
              <w:autoSpaceDN w:val="0"/>
              <w:adjustRightInd w:val="0"/>
              <w:rPr>
                <w:rFonts w:eastAsia="MyriadPro-Bold" w:cstheme="minorHAnsi"/>
                <w:sz w:val="18"/>
                <w:szCs w:val="18"/>
              </w:rPr>
            </w:pPr>
            <w:r>
              <w:rPr>
                <w:sz w:val="18"/>
              </w:rPr>
              <w:t>Tento spotrebič má funkciu automatického vypnutia na zvýšenie bezpečnosti. Ak je spotrebič zapnutý nepretržite dlhšie ako 72 minút, automaticky sa vypne. Ak chcete spotrebič používať dlhšie, jednoducho otočte prepínač do polohy „0“ a potom vyberte požadované nastavenie na opätovné spustenie spotrebiča.</w:t>
            </w:r>
          </w:p>
          <w:p w14:paraId="35340229" w14:textId="77777777" w:rsidR="00FF75BE" w:rsidRPr="008F6C72" w:rsidRDefault="00FF75BE" w:rsidP="00FF75BE">
            <w:pPr>
              <w:autoSpaceDE w:val="0"/>
              <w:autoSpaceDN w:val="0"/>
              <w:adjustRightInd w:val="0"/>
              <w:rPr>
                <w:rFonts w:eastAsia="MyriadPro-Bold" w:cstheme="minorHAnsi"/>
                <w:sz w:val="18"/>
                <w:szCs w:val="18"/>
                <w:lang w:eastAsia="en-US" w:bidi="ar-SA"/>
              </w:rPr>
            </w:pPr>
          </w:p>
          <w:p w14:paraId="49E3C290" w14:textId="087615EE" w:rsidR="00FF75BE" w:rsidRPr="00FF75BE" w:rsidRDefault="00FF75BE" w:rsidP="00FF75BE">
            <w:pPr>
              <w:autoSpaceDE w:val="0"/>
              <w:autoSpaceDN w:val="0"/>
              <w:adjustRightInd w:val="0"/>
              <w:rPr>
                <w:rFonts w:eastAsia="MyriadPro-Bold" w:cstheme="minorHAnsi"/>
                <w:b/>
                <w:bCs/>
                <w:sz w:val="18"/>
                <w:szCs w:val="18"/>
              </w:rPr>
            </w:pPr>
            <w:r>
              <w:rPr>
                <w:b/>
                <w:sz w:val="18"/>
              </w:rPr>
              <w:t>Tepelne odolný kryt</w:t>
            </w:r>
          </w:p>
          <w:p w14:paraId="4AFE9CC3" w14:textId="026BFADD" w:rsidR="00FF75BE" w:rsidRPr="00FF75BE" w:rsidRDefault="00FF75BE" w:rsidP="00FF75BE">
            <w:pPr>
              <w:autoSpaceDE w:val="0"/>
              <w:autoSpaceDN w:val="0"/>
              <w:adjustRightInd w:val="0"/>
              <w:rPr>
                <w:rFonts w:eastAsia="MyriadPro-Bold" w:cstheme="minorHAnsi"/>
                <w:sz w:val="18"/>
                <w:szCs w:val="18"/>
              </w:rPr>
            </w:pPr>
            <w:r>
              <w:rPr>
                <w:sz w:val="18"/>
              </w:rPr>
              <w:t>Tento spotrebič sa dodáva s tepelne odolným krytom na použitie počas úpravy a po nej. Počas používania nikdy neumiestňujte prístroj na povrch citlivý na teplo, a to ani v prípade, že používate tepelne odolný kryt dodaný s prístrojom. Po použití spotrebič vypnite a odpojte zo zásuvky. Zariadenie ihneď zabaľte do dodanej tepelnej ochrannej podložky a pred uskladnením ho nechajte úplne vychladnúť. Uchovávajte ho mimo dosahu detí, pretože zostane niekoľko minút veľmi horúci.</w:t>
            </w:r>
          </w:p>
          <w:p w14:paraId="52D4A22F" w14:textId="125395D0" w:rsidR="00FF75BE" w:rsidRPr="00FF75BE" w:rsidRDefault="00FF75BE" w:rsidP="00FF75BE">
            <w:pPr>
              <w:autoSpaceDE w:val="0"/>
              <w:autoSpaceDN w:val="0"/>
              <w:adjustRightInd w:val="0"/>
              <w:rPr>
                <w:rFonts w:eastAsia="MyriadPro-Bold" w:cstheme="minorHAnsi"/>
                <w:sz w:val="18"/>
                <w:szCs w:val="18"/>
              </w:rPr>
            </w:pPr>
            <w:r>
              <w:rPr>
                <w:b/>
                <w:sz w:val="18"/>
              </w:rPr>
              <w:t>DÔLEŽITÉ!</w:t>
            </w:r>
            <w:r>
              <w:rPr>
                <w:sz w:val="18"/>
              </w:rPr>
              <w:t xml:space="preserve"> Vonkajší saténový materiál nie je odolný voči teplu, preto naň nikdy neklaďte spotrebič, keď je horúci.</w:t>
            </w:r>
          </w:p>
          <w:p w14:paraId="430C5689" w14:textId="77777777" w:rsidR="00FF75BE" w:rsidRPr="008F6C72" w:rsidRDefault="00FF75BE" w:rsidP="00FF75BE">
            <w:pPr>
              <w:autoSpaceDE w:val="0"/>
              <w:autoSpaceDN w:val="0"/>
              <w:adjustRightInd w:val="0"/>
              <w:rPr>
                <w:rFonts w:eastAsia="MyriadPro-Bold" w:cstheme="minorHAnsi"/>
                <w:sz w:val="18"/>
                <w:szCs w:val="18"/>
                <w:lang w:eastAsia="en-US" w:bidi="ar-SA"/>
              </w:rPr>
            </w:pPr>
          </w:p>
          <w:p w14:paraId="425EC176" w14:textId="2BA70F8D" w:rsidR="00FF75BE" w:rsidRPr="00FF75BE" w:rsidRDefault="00FF75BE" w:rsidP="00FF75BE">
            <w:pPr>
              <w:autoSpaceDE w:val="0"/>
              <w:autoSpaceDN w:val="0"/>
              <w:adjustRightInd w:val="0"/>
              <w:rPr>
                <w:rFonts w:eastAsia="MyriadPro-Bold" w:cstheme="minorHAnsi"/>
                <w:b/>
                <w:bCs/>
                <w:sz w:val="18"/>
                <w:szCs w:val="18"/>
              </w:rPr>
            </w:pPr>
            <w:r>
              <w:rPr>
                <w:b/>
                <w:sz w:val="18"/>
              </w:rPr>
              <w:t>ČISTENIE A ÚDRŽBA</w:t>
            </w:r>
          </w:p>
          <w:p w14:paraId="0D1B44E3" w14:textId="536AE5C4" w:rsidR="00FF75BE" w:rsidRPr="00FF75BE" w:rsidRDefault="00FF75BE" w:rsidP="00FF75BE">
            <w:pPr>
              <w:autoSpaceDE w:val="0"/>
              <w:autoSpaceDN w:val="0"/>
              <w:adjustRightInd w:val="0"/>
              <w:rPr>
                <w:rFonts w:eastAsia="MyriadPro-Bold" w:cstheme="minorHAnsi"/>
                <w:sz w:val="18"/>
                <w:szCs w:val="18"/>
              </w:rPr>
            </w:pPr>
            <w:r>
              <w:rPr>
                <w:sz w:val="18"/>
              </w:rPr>
              <w:t>Ak chcete udržať zariadenie v optimálnom stave, postupujte podľa nižšie uvedených pokynov.</w:t>
            </w:r>
          </w:p>
          <w:p w14:paraId="2DE76E75" w14:textId="4853174F" w:rsidR="00FF75BE" w:rsidRPr="00FF75BE" w:rsidRDefault="00FF75BE" w:rsidP="00FF75BE">
            <w:pPr>
              <w:autoSpaceDE w:val="0"/>
              <w:autoSpaceDN w:val="0"/>
              <w:adjustRightInd w:val="0"/>
              <w:rPr>
                <w:rFonts w:eastAsia="MyriadPro-Bold" w:cstheme="minorHAnsi"/>
                <w:sz w:val="18"/>
                <w:szCs w:val="18"/>
              </w:rPr>
            </w:pPr>
            <w:r>
              <w:rPr>
                <w:sz w:val="18"/>
              </w:rPr>
              <w:t>• Napájací kábel neomotávajte okolo jednotky. Namiesto toho ho zrolujte samostatne vedľa zariadenia.</w:t>
            </w:r>
          </w:p>
          <w:p w14:paraId="6FB503FC" w14:textId="67579FF7" w:rsidR="00FF75BE" w:rsidRPr="00FF75BE" w:rsidRDefault="00FF75BE" w:rsidP="00FF75BE">
            <w:pPr>
              <w:autoSpaceDE w:val="0"/>
              <w:autoSpaceDN w:val="0"/>
              <w:adjustRightInd w:val="0"/>
              <w:rPr>
                <w:rFonts w:eastAsia="MyriadPro-Bold" w:cstheme="minorHAnsi"/>
                <w:sz w:val="18"/>
                <w:szCs w:val="18"/>
              </w:rPr>
            </w:pPr>
            <w:r>
              <w:rPr>
                <w:sz w:val="18"/>
              </w:rPr>
              <w:t>• Nepoužívajte spotrebič s natiahnutým napájacím káblom.</w:t>
            </w:r>
          </w:p>
          <w:p w14:paraId="5A85F940" w14:textId="0E66CAB8" w:rsidR="00DC3838" w:rsidRPr="00955D05" w:rsidRDefault="00FF75BE" w:rsidP="00FF75BE">
            <w:pPr>
              <w:autoSpaceDE w:val="0"/>
              <w:autoSpaceDN w:val="0"/>
              <w:adjustRightInd w:val="0"/>
              <w:rPr>
                <w:rFonts w:eastAsia="MyriadPro-Bold" w:cstheme="minorHAnsi"/>
                <w:sz w:val="18"/>
                <w:szCs w:val="18"/>
              </w:rPr>
            </w:pPr>
            <w:r>
              <w:rPr>
                <w:sz w:val="18"/>
              </w:rPr>
              <w:t>• Po každom použití prístroj odpojte zo zásuvky.</w:t>
            </w:r>
          </w:p>
        </w:tc>
      </w:tr>
    </w:tbl>
    <w:p w14:paraId="0C32FCCD" w14:textId="77777777" w:rsidR="00D632AC" w:rsidRPr="00691D04" w:rsidRDefault="00D632AC">
      <w:pPr>
        <w:rPr>
          <w:sz w:val="14"/>
          <w:szCs w:val="18"/>
        </w:rPr>
      </w:pPr>
    </w:p>
    <w:sectPr w:rsidR="00D632AC" w:rsidRPr="00691D04" w:rsidSect="00E81AD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73A9" w14:textId="77777777" w:rsidR="006F740B" w:rsidRDefault="006F740B" w:rsidP="006F740B">
      <w:pPr>
        <w:spacing w:after="0" w:line="240" w:lineRule="auto"/>
      </w:pPr>
      <w:r>
        <w:separator/>
      </w:r>
    </w:p>
  </w:endnote>
  <w:endnote w:type="continuationSeparator" w:id="0">
    <w:p w14:paraId="081D378A"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Pro-Bol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E31D" w14:textId="111C880E" w:rsidR="008F6C72" w:rsidRPr="008F6C72" w:rsidRDefault="008F6C72" w:rsidP="008F6C72">
    <w:pPr>
      <w:rPr>
        <w:rFonts w:ascii="Times New Roman" w:eastAsia="Times New Roman" w:hAnsi="Times New Roman" w:cs="Times New Roman"/>
        <w:sz w:val="24"/>
        <w:szCs w:val="24"/>
        <w:lang w:val="fr-FR" w:eastAsia="fr-FR" w:bidi="ar-SA"/>
      </w:rPr>
    </w:pPr>
    <w:r w:rsidRPr="008F6C72">
      <w:rPr>
        <w:rFonts w:ascii="Times New Roman" w:eastAsia="Times New Roman" w:hAnsi="Times New Roman" w:cs="Times New Roman"/>
        <w:sz w:val="24"/>
        <w:szCs w:val="24"/>
        <w:lang w:val="fr-FR" w:eastAsia="fr-FR" w:bidi="ar-SA"/>
      </w:rPr>
      <w:t>IB082721</w:t>
    </w:r>
  </w:p>
  <w:p w14:paraId="2FA687DF" w14:textId="36666424" w:rsidR="008F6C72" w:rsidRDefault="008F6C72">
    <w:pPr>
      <w:pStyle w:val="Pieddepage"/>
    </w:pPr>
  </w:p>
  <w:p w14:paraId="22FC9DD8" w14:textId="77777777" w:rsidR="008F6C72" w:rsidRDefault="008F6C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9D80" w14:textId="77777777" w:rsidR="006F740B" w:rsidRDefault="006F740B" w:rsidP="006F740B">
      <w:pPr>
        <w:spacing w:after="0" w:line="240" w:lineRule="auto"/>
      </w:pPr>
      <w:r>
        <w:separator/>
      </w:r>
    </w:p>
  </w:footnote>
  <w:footnote w:type="continuationSeparator" w:id="0">
    <w:p w14:paraId="32666DE5"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42E79"/>
    <w:rsid w:val="00160AD5"/>
    <w:rsid w:val="002047AE"/>
    <w:rsid w:val="00255E5F"/>
    <w:rsid w:val="002B2298"/>
    <w:rsid w:val="002E182B"/>
    <w:rsid w:val="00377E06"/>
    <w:rsid w:val="004C3731"/>
    <w:rsid w:val="004C7F69"/>
    <w:rsid w:val="00507397"/>
    <w:rsid w:val="00521B69"/>
    <w:rsid w:val="00574A47"/>
    <w:rsid w:val="005B7056"/>
    <w:rsid w:val="006130E7"/>
    <w:rsid w:val="00626365"/>
    <w:rsid w:val="00676AD3"/>
    <w:rsid w:val="0069058A"/>
    <w:rsid w:val="00691D04"/>
    <w:rsid w:val="006B3813"/>
    <w:rsid w:val="006D4819"/>
    <w:rsid w:val="006F740B"/>
    <w:rsid w:val="007F7621"/>
    <w:rsid w:val="008C3FD4"/>
    <w:rsid w:val="008D414B"/>
    <w:rsid w:val="008F6C72"/>
    <w:rsid w:val="00905EAC"/>
    <w:rsid w:val="00955D05"/>
    <w:rsid w:val="009C5C3C"/>
    <w:rsid w:val="009E2F17"/>
    <w:rsid w:val="009E3C34"/>
    <w:rsid w:val="00A34DE3"/>
    <w:rsid w:val="00A41C3F"/>
    <w:rsid w:val="00A57FE1"/>
    <w:rsid w:val="00B0329B"/>
    <w:rsid w:val="00B813A2"/>
    <w:rsid w:val="00BC77A9"/>
    <w:rsid w:val="00C0105F"/>
    <w:rsid w:val="00C2648B"/>
    <w:rsid w:val="00CD2DDD"/>
    <w:rsid w:val="00CE0540"/>
    <w:rsid w:val="00D632AC"/>
    <w:rsid w:val="00DC3838"/>
    <w:rsid w:val="00DD4E6F"/>
    <w:rsid w:val="00DD67E3"/>
    <w:rsid w:val="00E432FA"/>
    <w:rsid w:val="00E508C7"/>
    <w:rsid w:val="00E813D3"/>
    <w:rsid w:val="00E81ADD"/>
    <w:rsid w:val="00EF430D"/>
    <w:rsid w:val="00F15B6E"/>
    <w:rsid w:val="00F36BE1"/>
    <w:rsid w:val="00F73A20"/>
    <w:rsid w:val="00F74660"/>
    <w:rsid w:val="00FD2588"/>
    <w:rsid w:val="00FE6913"/>
    <w:rsid w:val="00FF7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8CB7"/>
  <w15:docId w15:val="{20919F59-BCEB-4057-B82F-CD17ECCC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94234">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419</Words>
  <Characters>2307</Characters>
  <Application>Microsoft Office Word</Application>
  <DocSecurity>0</DocSecurity>
  <Lines>19</Lines>
  <Paragraphs>5</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Yulia Jacquemond</cp:lastModifiedBy>
  <cp:revision>55</cp:revision>
  <dcterms:created xsi:type="dcterms:W3CDTF">2016-06-14T14:53:00Z</dcterms:created>
  <dcterms:modified xsi:type="dcterms:W3CDTF">2023-01-09T15:03:00Z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173300</vt:lpwstr>
  </property>
  <property fmtid="{D5CDD505-2E9C-101B-9397-08002B2CF9AE}" pid="3" name="NXPowerLiteSettings">
    <vt:lpwstr>C74006B004C800</vt:lpwstr>
  </property>
  <property fmtid="{D5CDD505-2E9C-101B-9397-08002B2CF9AE}" pid="4" name="NXPowerLiteVersion">
    <vt:lpwstr>S5.2.2</vt:lpwstr>
  </property>
</Properties>
</file>